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inorHAnsi" w:cstheme="minorBidi"/>
          <w:b w:val="0"/>
          <w:bCs w:val="0"/>
          <w:sz w:val="24"/>
          <w:szCs w:val="22"/>
        </w:rPr>
        <w:id w:val="6112182"/>
        <w:docPartObj>
          <w:docPartGallery w:val="Table of Contents"/>
          <w:docPartUnique/>
        </w:docPartObj>
      </w:sdtPr>
      <w:sdtContent>
        <w:bookmarkStart w:id="0" w:name="_Toc359194297" w:displacedByCustomXml="prev"/>
        <w:p w:rsidR="006D548D" w:rsidRPr="00AD78AF" w:rsidRDefault="006D548D" w:rsidP="00AD78AF">
          <w:pPr>
            <w:pStyle w:val="Heading2"/>
            <w:rPr>
              <w:rFonts w:asciiTheme="majorHAnsi" w:hAnsiTheme="majorHAnsi"/>
              <w:noProof/>
            </w:rPr>
          </w:pPr>
          <w:r>
            <w:t>Sadržaj</w:t>
          </w:r>
          <w:bookmarkEnd w:id="0"/>
          <w:r w:rsidR="00CB48B6" w:rsidRPr="00CB48B6">
            <w:fldChar w:fldCharType="begin"/>
          </w:r>
          <w:r>
            <w:instrText xml:space="preserve"> TOC \o "1-3" \h \z \u </w:instrText>
          </w:r>
          <w:r w:rsidR="00CB48B6" w:rsidRPr="00CB48B6">
            <w:fldChar w:fldCharType="separate"/>
          </w:r>
        </w:p>
        <w:p w:rsidR="006D548D" w:rsidRDefault="00CB48B6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59194298" w:history="1">
            <w:r w:rsidR="006D548D" w:rsidRPr="0092492D">
              <w:rPr>
                <w:rStyle w:val="Hyperlink"/>
                <w:noProof/>
              </w:rPr>
              <w:t>Uvod</w:t>
            </w:r>
            <w:r w:rsidR="006D54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48D">
              <w:rPr>
                <w:noProof/>
                <w:webHidden/>
              </w:rPr>
              <w:instrText xml:space="preserve"> PAGEREF _Toc359194298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051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48D" w:rsidRDefault="00CB48B6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59194299" w:history="1">
            <w:r w:rsidR="006D548D" w:rsidRPr="0092492D">
              <w:rPr>
                <w:rStyle w:val="Hyperlink"/>
                <w:noProof/>
              </w:rPr>
              <w:t>Etiologija</w:t>
            </w:r>
            <w:r w:rsidR="006D54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48D">
              <w:rPr>
                <w:noProof/>
                <w:webHidden/>
              </w:rPr>
              <w:instrText xml:space="preserve"> PAGEREF _Toc359194299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051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48D" w:rsidRDefault="00CB48B6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59194300" w:history="1">
            <w:r w:rsidR="006D548D" w:rsidRPr="0092492D">
              <w:rPr>
                <w:rStyle w:val="Hyperlink"/>
                <w:noProof/>
              </w:rPr>
              <w:t>Patogeneza</w:t>
            </w:r>
            <w:r w:rsidR="006D54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48D">
              <w:rPr>
                <w:noProof/>
                <w:webHidden/>
              </w:rPr>
              <w:instrText xml:space="preserve"> PAGEREF _Toc359194300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051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48D" w:rsidRDefault="00CB48B6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59194301" w:history="1">
            <w:r w:rsidR="006D548D" w:rsidRPr="0092492D">
              <w:rPr>
                <w:rStyle w:val="Hyperlink"/>
                <w:noProof/>
              </w:rPr>
              <w:t>Klinička slika</w:t>
            </w:r>
            <w:r w:rsidR="006D54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48D">
              <w:rPr>
                <w:noProof/>
                <w:webHidden/>
              </w:rPr>
              <w:instrText xml:space="preserve"> PAGEREF _Toc359194301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051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48D" w:rsidRDefault="00CB48B6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59194302" w:history="1">
            <w:r w:rsidR="006D548D" w:rsidRPr="0092492D">
              <w:rPr>
                <w:rStyle w:val="Hyperlink"/>
                <w:noProof/>
              </w:rPr>
              <w:t>Dijagnoza</w:t>
            </w:r>
            <w:r w:rsidR="006D54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48D">
              <w:rPr>
                <w:noProof/>
                <w:webHidden/>
              </w:rPr>
              <w:instrText xml:space="preserve"> PAGEREF _Toc359194302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051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48D" w:rsidRDefault="00CB48B6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59194303" w:history="1">
            <w:r w:rsidR="006D548D" w:rsidRPr="0092492D">
              <w:rPr>
                <w:rStyle w:val="Hyperlink"/>
                <w:noProof/>
              </w:rPr>
              <w:t>Diferencijalna dijagnoza</w:t>
            </w:r>
            <w:r w:rsidR="006D54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48D">
              <w:rPr>
                <w:noProof/>
                <w:webHidden/>
              </w:rPr>
              <w:instrText xml:space="preserve"> PAGEREF _Toc359194303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051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48D" w:rsidRDefault="00CB48B6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59194304" w:history="1">
            <w:r w:rsidR="006D548D" w:rsidRPr="0092492D">
              <w:rPr>
                <w:rStyle w:val="Hyperlink"/>
                <w:noProof/>
              </w:rPr>
              <w:t>Terapija</w:t>
            </w:r>
            <w:r w:rsidR="006D54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48D">
              <w:rPr>
                <w:noProof/>
                <w:webHidden/>
              </w:rPr>
              <w:instrText xml:space="preserve"> PAGEREF _Toc359194304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051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48D" w:rsidRDefault="00CB48B6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59194305" w:history="1">
            <w:r w:rsidR="006D548D" w:rsidRPr="0092492D">
              <w:rPr>
                <w:rStyle w:val="Hyperlink"/>
                <w:noProof/>
              </w:rPr>
              <w:t>Zaključak</w:t>
            </w:r>
            <w:r w:rsidR="006D54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48D">
              <w:rPr>
                <w:noProof/>
                <w:webHidden/>
              </w:rPr>
              <w:instrText xml:space="preserve"> PAGEREF _Toc359194305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051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48D" w:rsidRDefault="00CB48B6">
          <w:pPr>
            <w:pStyle w:val="TOC2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59194306" w:history="1">
            <w:r w:rsidR="006D548D" w:rsidRPr="0092492D">
              <w:rPr>
                <w:rStyle w:val="Hyperlink"/>
                <w:noProof/>
              </w:rPr>
              <w:t>Literatura</w:t>
            </w:r>
            <w:r w:rsidR="006D54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48D">
              <w:rPr>
                <w:noProof/>
                <w:webHidden/>
              </w:rPr>
              <w:instrText xml:space="preserve"> PAGEREF _Toc359194306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051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48D" w:rsidRDefault="00CB48B6">
          <w:r>
            <w:fldChar w:fldCharType="end"/>
          </w:r>
        </w:p>
      </w:sdtContent>
    </w:sdt>
    <w:p w:rsidR="006D548D" w:rsidRDefault="006D548D" w:rsidP="00475CD0">
      <w:pPr>
        <w:pStyle w:val="Heading2"/>
      </w:pPr>
    </w:p>
    <w:p w:rsidR="006D548D" w:rsidRDefault="006D548D" w:rsidP="00475CD0">
      <w:pPr>
        <w:pStyle w:val="Heading2"/>
      </w:pPr>
    </w:p>
    <w:p w:rsidR="006D548D" w:rsidRDefault="006D548D" w:rsidP="00475CD0">
      <w:pPr>
        <w:pStyle w:val="Heading2"/>
      </w:pPr>
    </w:p>
    <w:p w:rsidR="006D548D" w:rsidRDefault="006D548D" w:rsidP="00475CD0">
      <w:pPr>
        <w:pStyle w:val="Heading2"/>
      </w:pPr>
    </w:p>
    <w:p w:rsidR="006D548D" w:rsidRDefault="006D548D" w:rsidP="00475CD0">
      <w:pPr>
        <w:pStyle w:val="Heading2"/>
      </w:pPr>
    </w:p>
    <w:p w:rsidR="006D548D" w:rsidRDefault="006D548D" w:rsidP="00475CD0">
      <w:pPr>
        <w:pStyle w:val="Heading2"/>
      </w:pPr>
    </w:p>
    <w:p w:rsidR="006D548D" w:rsidRDefault="006D548D" w:rsidP="006D548D"/>
    <w:p w:rsidR="006D548D" w:rsidRDefault="006D548D" w:rsidP="006D548D"/>
    <w:p w:rsidR="007625FD" w:rsidRDefault="00CB48B6" w:rsidP="007625FD">
      <w:pPr>
        <w:jc w:val="center"/>
        <w:rPr>
          <w:sz w:val="28"/>
          <w:szCs w:val="28"/>
        </w:rPr>
      </w:pPr>
      <w:hyperlink r:id="rId8" w:history="1">
        <w:r w:rsidR="007625FD">
          <w:rPr>
            <w:rStyle w:val="Hyperlink"/>
            <w:sz w:val="28"/>
            <w:szCs w:val="28"/>
          </w:rPr>
          <w:t>www.</w:t>
        </w:r>
        <w:r w:rsidR="00AA401F">
          <w:rPr>
            <w:rStyle w:val="Hyperlink"/>
            <w:sz w:val="28"/>
            <w:szCs w:val="28"/>
          </w:rPr>
          <w:t>maturski.org</w:t>
        </w:r>
      </w:hyperlink>
    </w:p>
    <w:p w:rsidR="006D548D" w:rsidRDefault="006D548D" w:rsidP="006D548D"/>
    <w:p w:rsidR="006D548D" w:rsidRDefault="006D548D" w:rsidP="006D548D"/>
    <w:p w:rsidR="00B2535E" w:rsidRDefault="005F7327" w:rsidP="006D548D">
      <w:pPr>
        <w:pStyle w:val="Heading2"/>
      </w:pPr>
      <w:bookmarkStart w:id="1" w:name="_Toc359194298"/>
      <w:r>
        <w:t>Uvod</w:t>
      </w:r>
      <w:bookmarkEnd w:id="1"/>
    </w:p>
    <w:p w:rsidR="003A7923" w:rsidRPr="00475CD0" w:rsidRDefault="005F7327" w:rsidP="00475CD0">
      <w:r>
        <w:t>Uzročnik ovog</w:t>
      </w:r>
      <w:r w:rsidR="0096664E">
        <w:t xml:space="preserve"> dermatitisa</w:t>
      </w:r>
      <w:r>
        <w:t xml:space="preserve"> je kvaščeva gljivica </w:t>
      </w:r>
      <w:r w:rsidRPr="005F7327">
        <w:rPr>
          <w:i/>
        </w:rPr>
        <w:t>Malassezia pachydermatis</w:t>
      </w:r>
      <w:r>
        <w:t xml:space="preserve">. Ova gljivica kao i većina drugih kvaščevih gljivica (kao npr. </w:t>
      </w:r>
      <w:r w:rsidRPr="005F7327">
        <w:rPr>
          <w:i/>
        </w:rPr>
        <w:t>Candida albicans</w:t>
      </w:r>
      <w:r>
        <w:t>) su normalni stanovnici kože i sluzokoža pasa i mačaka. Veoma često se izoluju iz spoljašnjeg ušnog kanala ili sa kože zdravih pasa i mačaka. Infekcija ovim gljivicama najčešće predstavlja komplikaciju drugih bolesnih stanja kože, posebno alergija</w:t>
      </w:r>
      <w:r w:rsidR="002B7F96">
        <w:t xml:space="preserve"> i poremećaja keratinizacije. (</w:t>
      </w:r>
      <w:r>
        <w:t>Popovi</w:t>
      </w:r>
      <w:r w:rsidR="00561BE4">
        <w:t>ć, 2012</w:t>
      </w:r>
      <w:r w:rsidR="002B7F96">
        <w:t xml:space="preserve">) Nastanku bolesti su vrlo često podložne i životinje koje su duže vreme bile podvrgnute nekom antibiotskom tretmanu, životinje koje pate od nekih imunosupresivnih bolesti i dr. </w:t>
      </w:r>
    </w:p>
    <w:p w:rsidR="003A7923" w:rsidRDefault="003A7923" w:rsidP="00475CD0">
      <w:pPr>
        <w:pStyle w:val="Heading2"/>
      </w:pPr>
      <w:bookmarkStart w:id="2" w:name="_Toc359194299"/>
      <w:r>
        <w:t>Etiologija</w:t>
      </w:r>
      <w:bookmarkEnd w:id="2"/>
    </w:p>
    <w:p w:rsidR="003A7923" w:rsidRDefault="003A7923" w:rsidP="00475CD0">
      <w:r>
        <w:t xml:space="preserve">Rod </w:t>
      </w:r>
      <w:r w:rsidRPr="003A7923">
        <w:rPr>
          <w:i/>
        </w:rPr>
        <w:t>Malassezia</w:t>
      </w:r>
      <w:r>
        <w:t xml:space="preserve"> broji 6 vrsta lipofilnih kvaščevih gljivica koje se razmnožavaju aseksualnom deobom (pupljenjem). Ovakav način razmnožavanja je i razlog njenog tipičnog izgleda koji podseća na kikiriki ili otisak stopala.</w:t>
      </w:r>
      <w:r w:rsidR="007074D2">
        <w:t xml:space="preserve"> Veličina im je mala i iznosi 2 – 7 μm i ne stvaraju pseudomicelijum. Rastu na </w:t>
      </w:r>
      <w:r w:rsidR="007074D2" w:rsidRPr="00443846">
        <w:rPr>
          <w:i/>
        </w:rPr>
        <w:t>Saburau</w:t>
      </w:r>
      <w:r w:rsidR="00443846" w:rsidRPr="00443846">
        <w:rPr>
          <w:i/>
        </w:rPr>
        <w:t>n</w:t>
      </w:r>
      <w:r w:rsidR="007074D2" w:rsidRPr="00443846">
        <w:rPr>
          <w:i/>
        </w:rPr>
        <w:t>d</w:t>
      </w:r>
      <w:r w:rsidR="007074D2">
        <w:t xml:space="preserve"> dekstroznom agaru i formiraju okr</w:t>
      </w:r>
      <w:r w:rsidR="000F3E39">
        <w:t>ugle, konveksne i žute kolonije</w:t>
      </w:r>
      <w:r w:rsidR="007074D2">
        <w:t xml:space="preserve"> </w:t>
      </w:r>
      <w:r w:rsidR="000F3E39">
        <w:t>(Carlo</w:t>
      </w:r>
      <w:r w:rsidR="0000488C">
        <w:t>tti, 2005</w:t>
      </w:r>
      <w:r w:rsidR="000F3E39">
        <w:t>).</w:t>
      </w:r>
    </w:p>
    <w:p w:rsidR="007074D2" w:rsidRDefault="007645BC" w:rsidP="00475CD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1513205</wp:posOffset>
            </wp:positionV>
            <wp:extent cx="2905125" cy="2044700"/>
            <wp:effectExtent l="19050" t="0" r="9525" b="0"/>
            <wp:wrapSquare wrapText="bothSides"/>
            <wp:docPr id="1" name="Picture 0" descr="BSI-147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I-1476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1513205</wp:posOffset>
            </wp:positionV>
            <wp:extent cx="2724150" cy="2047875"/>
            <wp:effectExtent l="19050" t="0" r="0" b="0"/>
            <wp:wrapTight wrapText="bothSides">
              <wp:wrapPolygon edited="0">
                <wp:start x="-151" y="0"/>
                <wp:lineTo x="-151" y="21500"/>
                <wp:lineTo x="21600" y="21500"/>
                <wp:lineTo x="21600" y="0"/>
                <wp:lineTo x="-151" y="0"/>
              </wp:wrapPolygon>
            </wp:wrapTight>
            <wp:docPr id="2" name="Picture 1" descr="BSI-147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I-14763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4D2">
        <w:t xml:space="preserve">Mnoga istraživanja su pokazala da je </w:t>
      </w:r>
      <w:r w:rsidR="007074D2" w:rsidRPr="00653A25">
        <w:rPr>
          <w:i/>
        </w:rPr>
        <w:t xml:space="preserve">Malassezia pachydermatis </w:t>
      </w:r>
      <w:r w:rsidR="007074D2">
        <w:t>sastavna komponenta normalne kožne flore pasa. Oko 50% zdravih pasa su nosioci ove gljivice koja može da se nađe u spolašnjem ušnom kanalu, na koži (</w:t>
      </w:r>
      <w:r w:rsidR="006E3D36">
        <w:t>posebno u analnoj regiji, na usnama i ekstremitetima) i na dlačnom pokrivaču.</w:t>
      </w:r>
      <w:r w:rsidR="0000488C">
        <w:t xml:space="preserve"> (Carlotti, 2005</w:t>
      </w:r>
      <w:r w:rsidR="00653A25">
        <w:t>)</w:t>
      </w:r>
      <w:r w:rsidR="00561BE4">
        <w:t>.</w:t>
      </w:r>
      <w:r w:rsidR="00261C25">
        <w:t xml:space="preserve"> Neki autori ovu gljivicu svrstavaju i u oportunističke patogene.</w:t>
      </w:r>
    </w:p>
    <w:p w:rsidR="007645BC" w:rsidRPr="00BC0AB4" w:rsidRDefault="007645BC" w:rsidP="007645BC">
      <w:pPr>
        <w:jc w:val="center"/>
        <w:rPr>
          <w:sz w:val="20"/>
          <w:szCs w:val="20"/>
        </w:rPr>
      </w:pPr>
      <w:r w:rsidRPr="00BC0AB4">
        <w:rPr>
          <w:sz w:val="20"/>
          <w:szCs w:val="20"/>
        </w:rPr>
        <w:t>Slike 1 i 2, Izgled kvaščevih gljivica pod elektronskim mikroskopom.</w:t>
      </w:r>
    </w:p>
    <w:p w:rsidR="007645BC" w:rsidRDefault="007645BC" w:rsidP="007645BC">
      <w:pPr>
        <w:jc w:val="center"/>
      </w:pPr>
    </w:p>
    <w:p w:rsidR="00636B00" w:rsidRDefault="00636B00" w:rsidP="007645BC">
      <w:pPr>
        <w:pStyle w:val="Heading2"/>
      </w:pPr>
      <w:bookmarkStart w:id="3" w:name="_Toc359194300"/>
      <w:r w:rsidRPr="00636B00">
        <w:t>Patogeneza</w:t>
      </w:r>
      <w:bookmarkEnd w:id="3"/>
    </w:p>
    <w:p w:rsidR="00261C25" w:rsidRDefault="00261C25" w:rsidP="00475CD0">
      <w:r>
        <w:t>Odgovor organizma domaćina na prisustvo gljivica uključuje nespecifične i sprecifične mehanizme odb</w:t>
      </w:r>
      <w:r w:rsidR="0000488C">
        <w:t>rane (Carlotti, 2005</w:t>
      </w:r>
      <w:r w:rsidR="00206B57">
        <w:t>)</w:t>
      </w:r>
      <w:r w:rsidR="00443846">
        <w:t>.</w:t>
      </w:r>
      <w:r w:rsidR="00206B57">
        <w:t xml:space="preserve"> Povrede kože, kao i poremećaji odbrambenih mehanizama organizma omogućavaju umnožavanje ovih gljivica i ispoljavanje njihovih patogenih osobina. Faktori koji omogućavaju umnožavanje </w:t>
      </w:r>
      <w:r w:rsidR="00206B57" w:rsidRPr="00206B57">
        <w:rPr>
          <w:i/>
        </w:rPr>
        <w:t xml:space="preserve">Malassezia pachydermatis </w:t>
      </w:r>
      <w:r w:rsidR="00206B57">
        <w:t>su:</w:t>
      </w:r>
    </w:p>
    <w:p w:rsidR="00206B57" w:rsidRDefault="00206B57" w:rsidP="00206B57">
      <w:pPr>
        <w:pStyle w:val="ListParagraph"/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prekomerno stvaranje kožne masti ili cerumena</w:t>
      </w:r>
    </w:p>
    <w:p w:rsidR="00206B57" w:rsidRDefault="00206B57" w:rsidP="00206B57">
      <w:pPr>
        <w:pStyle w:val="ListParagraph"/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povećanje vlažnosti</w:t>
      </w:r>
    </w:p>
    <w:p w:rsidR="00206B57" w:rsidRDefault="00206B57" w:rsidP="00206B57">
      <w:pPr>
        <w:pStyle w:val="ListParagraph"/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pucanje epidermalne barijere</w:t>
      </w:r>
    </w:p>
    <w:p w:rsidR="00206B57" w:rsidRDefault="00443846" w:rsidP="00206B57">
      <w:pPr>
        <w:pStyle w:val="ListParagraph"/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i kožni nabori</w:t>
      </w:r>
      <w:r w:rsidR="00206B57">
        <w:rPr>
          <w:rFonts w:cs="Times New Roman"/>
          <w:szCs w:val="24"/>
        </w:rPr>
        <w:t xml:space="preserve"> </w:t>
      </w:r>
      <w:r w:rsidR="0000488C">
        <w:rPr>
          <w:rFonts w:cs="Times New Roman"/>
          <w:szCs w:val="24"/>
        </w:rPr>
        <w:t>(Carlotti, 2005</w:t>
      </w:r>
      <w:r w:rsidR="00023AE8" w:rsidRPr="00023AE8">
        <w:rPr>
          <w:rFonts w:cs="Times New Roman"/>
          <w:szCs w:val="24"/>
        </w:rPr>
        <w:t>)</w:t>
      </w:r>
      <w:r w:rsidR="00561BE4">
        <w:rPr>
          <w:rFonts w:cs="Times New Roman"/>
          <w:szCs w:val="24"/>
        </w:rPr>
        <w:t>.</w:t>
      </w:r>
    </w:p>
    <w:p w:rsidR="00023AE8" w:rsidRDefault="007D2D9E" w:rsidP="00475CD0">
      <w:r>
        <w:t>Najčešći uzroci</w:t>
      </w:r>
      <w:r w:rsidR="00023AE8">
        <w:t xml:space="preserve"> ovih promena su sledeći:</w:t>
      </w:r>
    </w:p>
    <w:p w:rsidR="00023AE8" w:rsidRDefault="00023AE8" w:rsidP="00023AE8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alergijska stanja kao što je atopijski dermatitis</w:t>
      </w:r>
      <w:r w:rsidR="007D2D9E">
        <w:rPr>
          <w:rFonts w:cs="Times New Roman"/>
          <w:szCs w:val="24"/>
        </w:rPr>
        <w:t>,</w:t>
      </w:r>
    </w:p>
    <w:p w:rsidR="00023AE8" w:rsidRDefault="00023AE8" w:rsidP="00023AE8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piodermije</w:t>
      </w:r>
      <w:r w:rsidR="007D2D9E">
        <w:rPr>
          <w:rFonts w:cs="Times New Roman"/>
          <w:szCs w:val="24"/>
        </w:rPr>
        <w:t>,</w:t>
      </w:r>
    </w:p>
    <w:p w:rsidR="00023AE8" w:rsidRDefault="00023AE8" w:rsidP="00023AE8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ektoparazitska oboljenja</w:t>
      </w:r>
      <w:r w:rsidR="00443846">
        <w:rPr>
          <w:rFonts w:cs="Times New Roman"/>
          <w:szCs w:val="24"/>
        </w:rPr>
        <w:t xml:space="preserve"> -</w:t>
      </w:r>
      <w:r>
        <w:rPr>
          <w:rFonts w:cs="Times New Roman"/>
          <w:szCs w:val="24"/>
        </w:rPr>
        <w:t xml:space="preserve"> demodikoza</w:t>
      </w:r>
      <w:r w:rsidR="007D2D9E">
        <w:rPr>
          <w:rFonts w:cs="Times New Roman"/>
          <w:szCs w:val="24"/>
        </w:rPr>
        <w:t>,</w:t>
      </w:r>
    </w:p>
    <w:p w:rsidR="00023AE8" w:rsidRDefault="00023AE8" w:rsidP="00023AE8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endokrini poremećaji </w:t>
      </w:r>
      <w:r w:rsidR="00B27F47">
        <w:rPr>
          <w:rFonts w:cs="Times New Roman"/>
          <w:szCs w:val="24"/>
        </w:rPr>
        <w:t xml:space="preserve">- </w:t>
      </w:r>
      <w:r>
        <w:rPr>
          <w:rFonts w:cs="Times New Roman"/>
          <w:szCs w:val="24"/>
        </w:rPr>
        <w:t>hipotireodizam</w:t>
      </w:r>
      <w:r w:rsidR="007D2D9E">
        <w:rPr>
          <w:rFonts w:cs="Times New Roman"/>
          <w:szCs w:val="24"/>
        </w:rPr>
        <w:t>,</w:t>
      </w:r>
    </w:p>
    <w:p w:rsidR="00023AE8" w:rsidRDefault="007D2D9E" w:rsidP="00023AE8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poremećaji keratinizacije: epidermalna displazija kod </w:t>
      </w:r>
      <w:r w:rsidR="008D53FE">
        <w:rPr>
          <w:rFonts w:cs="Times New Roman"/>
          <w:szCs w:val="24"/>
        </w:rPr>
        <w:t>Zapadno - škotskog</w:t>
      </w:r>
      <w:r>
        <w:rPr>
          <w:rFonts w:cs="Times New Roman"/>
          <w:szCs w:val="24"/>
        </w:rPr>
        <w:t xml:space="preserve"> terijera, idiopatska seboreja,</w:t>
      </w:r>
    </w:p>
    <w:p w:rsidR="007D2D9E" w:rsidRDefault="00443846" w:rsidP="007D2D9E">
      <w:pPr>
        <w:pStyle w:val="ListParagraph"/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tretmani sa glukokortik</w:t>
      </w:r>
      <w:r w:rsidR="00B27F47">
        <w:rPr>
          <w:rFonts w:cs="Times New Roman"/>
          <w:szCs w:val="24"/>
        </w:rPr>
        <w:t>oidima ili antibioticima</w:t>
      </w:r>
      <w:r w:rsidR="007D2D9E">
        <w:rPr>
          <w:rFonts w:cs="Times New Roman"/>
          <w:szCs w:val="24"/>
        </w:rPr>
        <w:t xml:space="preserve"> </w:t>
      </w:r>
      <w:r w:rsidR="007D2D9E" w:rsidRPr="00023AE8">
        <w:rPr>
          <w:rFonts w:cs="Times New Roman"/>
          <w:szCs w:val="24"/>
        </w:rPr>
        <w:t>(Carlotti, 200</w:t>
      </w:r>
      <w:r w:rsidR="0000488C">
        <w:rPr>
          <w:rFonts w:cs="Times New Roman"/>
          <w:szCs w:val="24"/>
        </w:rPr>
        <w:t>5</w:t>
      </w:r>
      <w:r w:rsidR="007D2D9E" w:rsidRPr="00023AE8">
        <w:rPr>
          <w:rFonts w:cs="Times New Roman"/>
          <w:szCs w:val="24"/>
        </w:rPr>
        <w:t>)</w:t>
      </w:r>
      <w:r w:rsidR="00B27F47">
        <w:rPr>
          <w:rFonts w:cs="Times New Roman"/>
          <w:szCs w:val="24"/>
        </w:rPr>
        <w:t>.</w:t>
      </w:r>
    </w:p>
    <w:p w:rsidR="007D2D9E" w:rsidRDefault="00443846" w:rsidP="00475CD0">
      <w:r>
        <w:t>Malasezije proizvode mnoge enzime među kojima su</w:t>
      </w:r>
      <w:r w:rsidR="007D2D9E">
        <w:t xml:space="preserve"> proteaze i lipaze </w:t>
      </w:r>
      <w:r w:rsidR="00105B3F">
        <w:t xml:space="preserve">koje svojom aktivnošću doprinose nastanku inflamatornog procesa menjajući pH kože i izazivajući oslobađanje eikosanoida i aktivaciju komplementa. </w:t>
      </w:r>
      <w:r w:rsidR="0000488C">
        <w:t>(Carlotti, 2005</w:t>
      </w:r>
      <w:r w:rsidR="00105B3F" w:rsidRPr="00023AE8">
        <w:t>)</w:t>
      </w:r>
      <w:r w:rsidR="00561BE4">
        <w:t>.</w:t>
      </w:r>
      <w:r w:rsidR="00105B3F">
        <w:t xml:space="preserve"> Iz ovoga se može zaključiti da </w:t>
      </w:r>
      <w:r w:rsidR="00105B3F" w:rsidRPr="00105B3F">
        <w:rPr>
          <w:i/>
        </w:rPr>
        <w:t>Malassezia pachydermatis</w:t>
      </w:r>
      <w:r w:rsidR="00105B3F">
        <w:t xml:space="preserve"> ima ulogu alergena. U retkim slučajevima </w:t>
      </w:r>
      <w:r w:rsidR="00105B3F" w:rsidRPr="00105B3F">
        <w:rPr>
          <w:i/>
        </w:rPr>
        <w:t>Malassezia</w:t>
      </w:r>
      <w:r w:rsidR="00105B3F">
        <w:t xml:space="preserve"> moze biti primarni uzrok nastanka promena na koži.</w:t>
      </w:r>
      <w:r w:rsidR="008D53FE">
        <w:t xml:space="preserve"> Neke rase pasa kao što su: Zapadno</w:t>
      </w:r>
      <w:r w:rsidR="00BC74D9">
        <w:t xml:space="preserve"> - </w:t>
      </w:r>
      <w:r w:rsidR="008D53FE">
        <w:t xml:space="preserve">škotski beli terijer-westi, Baset, Jazavičar, Koker španijel, Pudla, Nemački ovčar, Koli, Šetlandski ovčar – Šelti, Džek Rasel terijer, Australijski svileni terijer, Australijski terijer, Špringer španijel, Šar – Pei su genetski predisponirane za nastanak </w:t>
      </w:r>
      <w:r w:rsidR="008D53FE" w:rsidRPr="008D53FE">
        <w:rPr>
          <w:i/>
        </w:rPr>
        <w:t>Malassezia</w:t>
      </w:r>
      <w:r w:rsidR="008D53FE">
        <w:t xml:space="preserve"> dermatitisa. Nije primeće</w:t>
      </w:r>
      <w:r w:rsidR="00475CD0">
        <w:t>na rasna i polna predispozicija</w:t>
      </w:r>
      <w:r w:rsidR="00BC74D9">
        <w:t xml:space="preserve"> </w:t>
      </w:r>
      <w:r w:rsidR="00BC74D9" w:rsidRPr="00023AE8">
        <w:t>(Carlotti, 2</w:t>
      </w:r>
      <w:r w:rsidR="0000488C">
        <w:t>005</w:t>
      </w:r>
      <w:r w:rsidR="00BC74D9" w:rsidRPr="00023AE8">
        <w:t>)</w:t>
      </w:r>
      <w:r w:rsidR="00475CD0">
        <w:t>.</w:t>
      </w:r>
      <w:r w:rsidR="00BC74D9">
        <w:t xml:space="preserve"> </w:t>
      </w:r>
      <w:r w:rsidR="00BC74D9" w:rsidRPr="00BC74D9">
        <w:rPr>
          <w:i/>
        </w:rPr>
        <w:t>Malassezia</w:t>
      </w:r>
      <w:r w:rsidR="00BC74D9">
        <w:t xml:space="preserve"> dermatitis je često sezonskog karaktera i javlja se od proleća do početka jeseni, mada u nekim slučajevima može da se javi i zimi.</w:t>
      </w:r>
    </w:p>
    <w:p w:rsidR="007645BC" w:rsidRDefault="005E4C10" w:rsidP="007645BC">
      <w:r>
        <w:lastRenderedPageBreak/>
        <w:t xml:space="preserve">Nema indikacija da je dermatitis izazvan sa </w:t>
      </w:r>
      <w:r w:rsidRPr="005E4C10">
        <w:rPr>
          <w:i/>
        </w:rPr>
        <w:t>Malassezia pachydermatis</w:t>
      </w:r>
      <w:r>
        <w:t xml:space="preserve"> kontagiozne prirode.</w:t>
      </w:r>
    </w:p>
    <w:p w:rsidR="006042AF" w:rsidRDefault="006042AF" w:rsidP="007645BC">
      <w:pPr>
        <w:pStyle w:val="Heading2"/>
      </w:pPr>
      <w:bookmarkStart w:id="4" w:name="_Toc359194301"/>
      <w:r w:rsidRPr="006042AF">
        <w:t>Klinička slika</w:t>
      </w:r>
      <w:bookmarkEnd w:id="4"/>
    </w:p>
    <w:p w:rsidR="006042AF" w:rsidRPr="00332EF1" w:rsidRDefault="00F02BD6" w:rsidP="00575699">
      <w:r>
        <w:t xml:space="preserve">U kliničkoj slici dermatitisa izazvanih sa </w:t>
      </w:r>
      <w:r w:rsidRPr="00F02BD6">
        <w:rPr>
          <w:i/>
        </w:rPr>
        <w:t>Malassezia pahydermatis</w:t>
      </w:r>
      <w:r>
        <w:t xml:space="preserve"> prisutni su mnogi simptomi. Najčešće je prisutan intenz</w:t>
      </w:r>
      <w:r w:rsidR="00495451">
        <w:t xml:space="preserve">ivan pruritus i gotovo uvek se javlja u slučajevima ovog dermatitis. Pored pruritusa, kod ove infekcije koža je </w:t>
      </w:r>
      <w:r w:rsidR="00443846">
        <w:t>erit</w:t>
      </w:r>
      <w:r w:rsidR="00495451">
        <w:t>ematozna, masna</w:t>
      </w:r>
      <w:r w:rsidR="001B34F1">
        <w:t xml:space="preserve"> i pokrivena žućkastim ljuspama, javlja se generalizovana alopecija i seboreja.</w:t>
      </w:r>
      <w:r w:rsidR="00495451">
        <w:t xml:space="preserve"> </w:t>
      </w:r>
      <w:r w:rsidR="004809B7">
        <w:t xml:space="preserve">Na početku bolesti pored eritema javljaju se papule i makule. </w:t>
      </w:r>
      <w:r w:rsidR="00495451">
        <w:t>Usled razlaganja masti, pod uticajem enzima ovog mikroorganizma, životinja ima neprijatan miris na užeglu mast.</w:t>
      </w:r>
      <w:r w:rsidR="001B34F1">
        <w:t xml:space="preserve"> </w:t>
      </w:r>
      <w:r w:rsidR="00C74CD7">
        <w:t>Promene se javljaju u in</w:t>
      </w:r>
      <w:r w:rsidR="00443846">
        <w:t>terdigitalnim prostorima, perian</w:t>
      </w:r>
      <w:r w:rsidR="00C74CD7">
        <w:t>alnoj regiji, na ventralnom del</w:t>
      </w:r>
      <w:r w:rsidR="00443846">
        <w:t>u vrata, u aksilarnoj regiji i na</w:t>
      </w:r>
      <w:r w:rsidR="00C74CD7">
        <w:t xml:space="preserve"> kožnim naborima. Javlja se i regionalni</w:t>
      </w:r>
      <w:r w:rsidR="00443846">
        <w:t xml:space="preserve"> dermatitis na ušima, usnama i </w:t>
      </w:r>
      <w:r w:rsidR="00C74CD7">
        <w:t xml:space="preserve">bradi. </w:t>
      </w:r>
      <w:r w:rsidR="00332EF1">
        <w:t xml:space="preserve">Kao posledica svih ovih stanja može da dođe do lihenifikacije i hiperpigmentacije </w:t>
      </w:r>
      <w:r w:rsidR="0000488C">
        <w:t>(Carlotti, 2005</w:t>
      </w:r>
      <w:r w:rsidR="00332EF1" w:rsidRPr="00023AE8">
        <w:t>)</w:t>
      </w:r>
      <w:r w:rsidR="00332EF1">
        <w:t xml:space="preserve">. Pored svih ovih simptoma nije neobično da se uporedo javi i </w:t>
      </w:r>
      <w:r w:rsidR="00332EF1" w:rsidRPr="00332EF1">
        <w:rPr>
          <w:i/>
        </w:rPr>
        <w:t>otitis externa</w:t>
      </w:r>
      <w:r w:rsidR="00332EF1">
        <w:rPr>
          <w:i/>
        </w:rPr>
        <w:t>.</w:t>
      </w:r>
    </w:p>
    <w:p w:rsidR="0039202E" w:rsidRDefault="0039202E" w:rsidP="0039202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1379855</wp:posOffset>
            </wp:positionV>
            <wp:extent cx="2819400" cy="2143125"/>
            <wp:effectExtent l="19050" t="0" r="0" b="0"/>
            <wp:wrapTight wrapText="bothSides">
              <wp:wrapPolygon edited="0">
                <wp:start x="-146" y="0"/>
                <wp:lineTo x="-146" y="21504"/>
                <wp:lineTo x="21600" y="21504"/>
                <wp:lineTo x="21600" y="0"/>
                <wp:lineTo x="-146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1379855</wp:posOffset>
            </wp:positionV>
            <wp:extent cx="3000375" cy="2143125"/>
            <wp:effectExtent l="19050" t="0" r="9525" b="0"/>
            <wp:wrapTight wrapText="bothSides">
              <wp:wrapPolygon edited="0">
                <wp:start x="-137" y="0"/>
                <wp:lineTo x="-137" y="21504"/>
                <wp:lineTo x="21669" y="21504"/>
                <wp:lineTo x="21669" y="0"/>
                <wp:lineTo x="-137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66A">
        <w:t xml:space="preserve">Lokalizovani oblik je dosta češći od generalizovanog oblika </w:t>
      </w:r>
      <w:r w:rsidR="00AC066A" w:rsidRPr="00AC066A">
        <w:rPr>
          <w:i/>
        </w:rPr>
        <w:t>Malassezia</w:t>
      </w:r>
      <w:r w:rsidR="00AC066A">
        <w:t xml:space="preserve"> dermatitisa. Delovi tela koji </w:t>
      </w:r>
      <w:r w:rsidR="004809B7">
        <w:t xml:space="preserve">imaju </w:t>
      </w:r>
      <w:r w:rsidR="00AC066A">
        <w:t xml:space="preserve">tendenciju za većim nakupljanjem masnoće i vlažnosti na koži imaju veću predispoziciju za </w:t>
      </w:r>
      <w:r w:rsidR="004809B7">
        <w:t xml:space="preserve">nastanak </w:t>
      </w:r>
      <w:r w:rsidR="004809B7" w:rsidRPr="004809B7">
        <w:rPr>
          <w:i/>
        </w:rPr>
        <w:t xml:space="preserve">Malassezia </w:t>
      </w:r>
      <w:r w:rsidR="004809B7">
        <w:t>dermatitisa (Charach</w:t>
      </w:r>
      <w:r w:rsidR="00332EF1">
        <w:t>,</w:t>
      </w:r>
      <w:r w:rsidR="004809B7">
        <w:t xml:space="preserve"> 1997). </w:t>
      </w:r>
      <w:r w:rsidR="00332EF1">
        <w:t xml:space="preserve">U literaturi se navodi da može da se javi i uvećanje regionalnih limfnih čvorova, ali ne kao stalno prateći </w:t>
      </w:r>
      <w:r>
        <w:t>symptom</w:t>
      </w:r>
    </w:p>
    <w:p w:rsidR="0039202E" w:rsidRPr="00BC0AB4" w:rsidRDefault="0039202E" w:rsidP="0039202E">
      <w:pPr>
        <w:ind w:firstLine="0"/>
        <w:rPr>
          <w:sz w:val="20"/>
          <w:szCs w:val="20"/>
        </w:rPr>
      </w:pPr>
      <w:r w:rsidRPr="0039202E">
        <w:rPr>
          <w:sz w:val="20"/>
          <w:szCs w:val="20"/>
        </w:rPr>
        <w:t xml:space="preserve">Slika br. 3, Alopecija, lihenifikacija i  </w:t>
      </w:r>
      <w:r w:rsidR="00BC0AB4">
        <w:rPr>
          <w:sz w:val="20"/>
          <w:szCs w:val="20"/>
        </w:rPr>
        <w:t>hiperpigmentacija</w:t>
      </w:r>
      <w:r w:rsidRPr="0039202E">
        <w:rPr>
          <w:sz w:val="20"/>
          <w:szCs w:val="20"/>
        </w:rPr>
        <w:t xml:space="preserve">       </w:t>
      </w:r>
      <w:r w:rsidR="00BC0AB4">
        <w:rPr>
          <w:sz w:val="20"/>
          <w:szCs w:val="20"/>
        </w:rPr>
        <w:t xml:space="preserve">            </w:t>
      </w:r>
      <w:r w:rsidRPr="0039202E">
        <w:rPr>
          <w:sz w:val="20"/>
          <w:szCs w:val="20"/>
        </w:rPr>
        <w:t>Slka br. 4,</w:t>
      </w:r>
      <w:r w:rsidR="00BC0AB4">
        <w:rPr>
          <w:sz w:val="20"/>
          <w:szCs w:val="20"/>
        </w:rPr>
        <w:t xml:space="preserve"> </w:t>
      </w:r>
      <w:r w:rsidR="00BC0AB4" w:rsidRPr="00171DE8">
        <w:rPr>
          <w:i/>
          <w:sz w:val="20"/>
          <w:szCs w:val="20"/>
        </w:rPr>
        <w:t>Malassezia</w:t>
      </w:r>
      <w:r w:rsidR="00BC0AB4">
        <w:rPr>
          <w:sz w:val="20"/>
          <w:szCs w:val="20"/>
        </w:rPr>
        <w:t xml:space="preserve"> pododermatis</w:t>
      </w:r>
    </w:p>
    <w:p w:rsidR="0039202E" w:rsidRDefault="0039202E" w:rsidP="0039202E">
      <w:pPr>
        <w:ind w:firstLine="0"/>
      </w:pPr>
    </w:p>
    <w:p w:rsidR="0039202E" w:rsidRDefault="0039202E" w:rsidP="0039202E">
      <w:pPr>
        <w:ind w:firstLine="0"/>
      </w:pPr>
    </w:p>
    <w:p w:rsidR="00BC0AB4" w:rsidRDefault="006707DF" w:rsidP="006707DF">
      <w:pPr>
        <w:ind w:firstLine="0"/>
      </w:pPr>
      <w:r w:rsidRPr="00171DE8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47625</wp:posOffset>
            </wp:positionV>
            <wp:extent cx="2867025" cy="1885950"/>
            <wp:effectExtent l="19050" t="0" r="9525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1DE8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2752725" cy="1885950"/>
            <wp:effectExtent l="19050" t="0" r="9525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DE8">
        <w:rPr>
          <w:sz w:val="20"/>
          <w:szCs w:val="20"/>
        </w:rPr>
        <w:t xml:space="preserve">         </w:t>
      </w:r>
      <w:r w:rsidRPr="00171DE8">
        <w:rPr>
          <w:sz w:val="20"/>
          <w:szCs w:val="20"/>
        </w:rPr>
        <w:t>Slika br. 5, Uznapredovali pododermatitis</w:t>
      </w:r>
      <w:r>
        <w:t xml:space="preserve">        </w:t>
      </w:r>
      <w:r w:rsidR="00171DE8">
        <w:t xml:space="preserve">             </w:t>
      </w:r>
      <w:r w:rsidRPr="00171DE8">
        <w:rPr>
          <w:sz w:val="20"/>
          <w:szCs w:val="20"/>
        </w:rPr>
        <w:t>Slika br. 6, Promena boje oko baze nokta</w:t>
      </w:r>
    </w:p>
    <w:p w:rsidR="00AC066A" w:rsidRPr="00C74CD7" w:rsidRDefault="00997667" w:rsidP="006707DF">
      <w:pPr>
        <w:pStyle w:val="Heading2"/>
        <w:rPr>
          <w:rFonts w:cstheme="minorBidi"/>
          <w:szCs w:val="22"/>
        </w:rPr>
      </w:pPr>
      <w:bookmarkStart w:id="5" w:name="_Toc359194302"/>
      <w:r>
        <w:t>Dijagno</w:t>
      </w:r>
      <w:r w:rsidR="00253C1E">
        <w:t>za</w:t>
      </w:r>
      <w:bookmarkEnd w:id="5"/>
      <w:r w:rsidR="00332EF1">
        <w:t xml:space="preserve"> </w:t>
      </w:r>
    </w:p>
    <w:p w:rsidR="00F13C92" w:rsidRDefault="00253C1E" w:rsidP="00F13C92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Dijagnoza se postavlja na osnovu anamnestičkih podataka, kliničkog pregleda i odgovarajućih metoda za dokazivanje </w:t>
      </w:r>
      <w:r w:rsidRPr="00253C1E">
        <w:rPr>
          <w:rFonts w:cs="Times New Roman"/>
          <w:i/>
          <w:szCs w:val="24"/>
        </w:rPr>
        <w:t>Malassezia</w:t>
      </w:r>
      <w:r>
        <w:rPr>
          <w:rFonts w:cs="Times New Roman"/>
          <w:szCs w:val="24"/>
        </w:rPr>
        <w:t xml:space="preserve"> vrsta na koži obolele životinje. Metode koje se mogu koristiti za dijagnostiku prisustva </w:t>
      </w:r>
      <w:r w:rsidRPr="00FC752D">
        <w:rPr>
          <w:rFonts w:cs="Times New Roman"/>
          <w:i/>
          <w:szCs w:val="24"/>
        </w:rPr>
        <w:t>Malassezia pachydermatis</w:t>
      </w:r>
      <w:r>
        <w:rPr>
          <w:rFonts w:cs="Times New Roman"/>
          <w:szCs w:val="24"/>
        </w:rPr>
        <w:t xml:space="preserve"> su: citološki pregled, uzgajanje i izolovanje kultura na hranljivim podlogama, histopatologija i </w:t>
      </w:r>
      <w:r w:rsidR="00C44B4B">
        <w:rPr>
          <w:rFonts w:cs="Times New Roman"/>
          <w:szCs w:val="24"/>
        </w:rPr>
        <w:t>terapijska proba. Od navedenih metoda se najčešće koriste citološka metoda i terapijska proba kao potvrda dijagnoze.</w:t>
      </w:r>
      <w:r w:rsidR="00F13C92">
        <w:rPr>
          <w:rFonts w:cs="Times New Roman"/>
          <w:szCs w:val="24"/>
        </w:rPr>
        <w:t xml:space="preserve"> Ostale metode se manje koriste zbog toga što su skuplje i duže se čeka na rezultate. </w:t>
      </w:r>
    </w:p>
    <w:p w:rsidR="00F13C92" w:rsidRDefault="005815AB" w:rsidP="005815AB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1804035</wp:posOffset>
            </wp:positionV>
            <wp:extent cx="2752725" cy="1838325"/>
            <wp:effectExtent l="19050" t="0" r="9525" b="0"/>
            <wp:wrapSquare wrapText="bothSides"/>
            <wp:docPr id="7" name="Picture 6" descr="malasse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ssezi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1804035</wp:posOffset>
            </wp:positionV>
            <wp:extent cx="2847975" cy="1838325"/>
            <wp:effectExtent l="19050" t="0" r="9525" b="0"/>
            <wp:wrapSquare wrapText="bothSides"/>
            <wp:docPr id="9" name="Picture 8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C92">
        <w:rPr>
          <w:rFonts w:cs="Times New Roman"/>
          <w:szCs w:val="24"/>
        </w:rPr>
        <w:t xml:space="preserve">Uzorkovanje materijala za citološki pregled vrši se skarifikacijom kože, uzimanjem briseva celofanskom trakom ili štapićima za bris. Ova metoda omogućava direktan uvid u prisustvo ćelija </w:t>
      </w:r>
      <w:r w:rsidR="00F13C92" w:rsidRPr="00B329AD">
        <w:rPr>
          <w:rFonts w:cs="Times New Roman"/>
          <w:i/>
          <w:szCs w:val="24"/>
        </w:rPr>
        <w:t>Malassezia pachydermatis</w:t>
      </w:r>
      <w:r w:rsidR="00F13C92">
        <w:rPr>
          <w:rFonts w:cs="Times New Roman"/>
          <w:szCs w:val="24"/>
        </w:rPr>
        <w:t xml:space="preserve"> u materijalu uzetom jednom od navedenih metoda.</w:t>
      </w:r>
      <w:r w:rsidR="00B329AD">
        <w:rPr>
          <w:rFonts w:cs="Times New Roman"/>
          <w:szCs w:val="24"/>
        </w:rPr>
        <w:t xml:space="preserve"> Od navedenih metoda uzorkovanja najčešće se koristi celofanski bris, dok uzimanje uzoraka štapićima za bris se koristi kod uzimanja uzoraka kod </w:t>
      </w:r>
      <w:r w:rsidR="00B329AD" w:rsidRPr="00B329AD">
        <w:rPr>
          <w:rFonts w:cs="Times New Roman"/>
          <w:i/>
          <w:szCs w:val="24"/>
        </w:rPr>
        <w:t>otitis externa</w:t>
      </w:r>
      <w:r w:rsidR="00B329AD">
        <w:rPr>
          <w:rFonts w:cs="Times New Roman"/>
          <w:szCs w:val="24"/>
        </w:rPr>
        <w:t xml:space="preserve">. U materijalu uzetom </w:t>
      </w:r>
      <w:r>
        <w:rPr>
          <w:rFonts w:cs="Times New Roman"/>
          <w:szCs w:val="24"/>
        </w:rPr>
        <w:t xml:space="preserve"> za </w:t>
      </w:r>
      <w:r w:rsidR="00B329AD">
        <w:rPr>
          <w:rFonts w:cs="Times New Roman"/>
          <w:szCs w:val="24"/>
        </w:rPr>
        <w:t>citološki pregled uočavaju se okrugle ili ovalne ćelije veličine 3 – 5μm.</w:t>
      </w:r>
    </w:p>
    <w:p w:rsidR="005815AB" w:rsidRPr="005815AB" w:rsidRDefault="005815AB" w:rsidP="005815AB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Slike br. 7 i 8, Prikaz ćelija </w:t>
      </w:r>
      <w:r w:rsidRPr="00171DE8">
        <w:rPr>
          <w:rFonts w:cs="Times New Roman"/>
          <w:i/>
          <w:sz w:val="20"/>
          <w:szCs w:val="20"/>
        </w:rPr>
        <w:t>Malassezia pachydermatis</w:t>
      </w:r>
      <w:r>
        <w:rPr>
          <w:rFonts w:cs="Times New Roman"/>
          <w:sz w:val="20"/>
          <w:szCs w:val="20"/>
        </w:rPr>
        <w:t xml:space="preserve"> pod svetlosnim mikroskopom</w:t>
      </w:r>
    </w:p>
    <w:p w:rsidR="00B53EF0" w:rsidRDefault="00171DE8" w:rsidP="00B53EF0"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1704975</wp:posOffset>
            </wp:positionV>
            <wp:extent cx="5781675" cy="2886075"/>
            <wp:effectExtent l="19050" t="0" r="9525" b="0"/>
            <wp:wrapSquare wrapText="bothSides"/>
            <wp:docPr id="10" name="Picture 9" descr="Dixons_a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xons_aga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B1B">
        <w:rPr>
          <w:rFonts w:cs="Times New Roman"/>
          <w:szCs w:val="24"/>
        </w:rPr>
        <w:t xml:space="preserve">Dokazivanje prisustva </w:t>
      </w:r>
      <w:r w:rsidR="00747B1B" w:rsidRPr="00171DE8">
        <w:rPr>
          <w:rFonts w:cs="Times New Roman"/>
          <w:i/>
          <w:szCs w:val="24"/>
        </w:rPr>
        <w:t>Malassezia</w:t>
      </w:r>
      <w:r w:rsidR="00747B1B">
        <w:rPr>
          <w:rFonts w:cs="Times New Roman"/>
          <w:szCs w:val="24"/>
        </w:rPr>
        <w:t xml:space="preserve"> na koži i dlaci pasa može da se vrši i kulture</w:t>
      </w:r>
      <w:r w:rsidR="007F2651">
        <w:rPr>
          <w:rFonts w:cs="Times New Roman"/>
          <w:szCs w:val="24"/>
        </w:rPr>
        <w:t>l</w:t>
      </w:r>
      <w:r w:rsidR="00747B1B">
        <w:rPr>
          <w:rFonts w:cs="Times New Roman"/>
          <w:szCs w:val="24"/>
        </w:rPr>
        <w:t xml:space="preserve">nim pregledom. Kao uzorak za ovu može da se koristi dlaka, skarifikati, delovi podloge na kojoj je životinja spavala itd. Podloga koja se koristi za rast </w:t>
      </w:r>
      <w:r w:rsidR="00747B1B" w:rsidRPr="00B53EF0">
        <w:rPr>
          <w:rFonts w:cs="Times New Roman"/>
          <w:i/>
          <w:szCs w:val="24"/>
        </w:rPr>
        <w:t>Malassezia pachydermatis</w:t>
      </w:r>
      <w:r w:rsidR="00747B1B">
        <w:rPr>
          <w:rFonts w:cs="Times New Roman"/>
          <w:szCs w:val="24"/>
        </w:rPr>
        <w:t xml:space="preserve"> je </w:t>
      </w:r>
      <w:r w:rsidR="00747B1B" w:rsidRPr="00B53EF0">
        <w:rPr>
          <w:rFonts w:cs="Times New Roman"/>
          <w:i/>
          <w:szCs w:val="24"/>
        </w:rPr>
        <w:t>Sabouraud</w:t>
      </w:r>
      <w:r w:rsidR="00747B1B">
        <w:rPr>
          <w:rFonts w:cs="Times New Roman"/>
          <w:szCs w:val="24"/>
        </w:rPr>
        <w:t xml:space="preserve"> dekstrozni agar sa dodatkom</w:t>
      </w:r>
      <w:r w:rsidR="00B53EF0">
        <w:rPr>
          <w:rFonts w:cs="Times New Roman"/>
          <w:szCs w:val="24"/>
        </w:rPr>
        <w:t xml:space="preserve"> hloramfenikola i cikloheksamidina. Ova metoda nema veliki dijagnostički značaj</w:t>
      </w:r>
      <w:r w:rsidR="007F2651">
        <w:rPr>
          <w:rFonts w:cs="Times New Roman"/>
          <w:szCs w:val="24"/>
        </w:rPr>
        <w:t>,</w:t>
      </w:r>
      <w:r w:rsidR="00B53EF0">
        <w:rPr>
          <w:rFonts w:cs="Times New Roman"/>
          <w:szCs w:val="24"/>
        </w:rPr>
        <w:t xml:space="preserve"> jer ova gljivica spade u normalnu floru kože pasa </w:t>
      </w:r>
      <w:r w:rsidR="0000488C">
        <w:t>(Carlotti, 2005</w:t>
      </w:r>
      <w:r w:rsidR="00B53EF0" w:rsidRPr="00023AE8">
        <w:t>)</w:t>
      </w:r>
      <w:r w:rsidR="00B53EF0">
        <w:t>.</w:t>
      </w:r>
    </w:p>
    <w:p w:rsidR="00171DE8" w:rsidRPr="00171DE8" w:rsidRDefault="00171DE8" w:rsidP="00171DE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Slika br. 9, Rast </w:t>
      </w:r>
      <w:r w:rsidRPr="00171DE8">
        <w:rPr>
          <w:i/>
          <w:sz w:val="20"/>
          <w:szCs w:val="20"/>
        </w:rPr>
        <w:t>Malassezi</w:t>
      </w:r>
      <w:r>
        <w:rPr>
          <w:sz w:val="20"/>
          <w:szCs w:val="20"/>
        </w:rPr>
        <w:t>a vrsta na hranljivim podlogama</w:t>
      </w:r>
    </w:p>
    <w:p w:rsidR="00B53EF0" w:rsidRDefault="00C30424" w:rsidP="00B53EF0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111125</wp:posOffset>
            </wp:positionV>
            <wp:extent cx="2743200" cy="3352800"/>
            <wp:effectExtent l="19050" t="0" r="0" b="0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EF0">
        <w:t>Histopatološkim pregledom kože, obojenom PAS metodom bojenja, može da se vidi prisustvo gljivica na površini epidermisa.</w:t>
      </w:r>
      <w:r w:rsidR="00FC752D">
        <w:t xml:space="preserve"> Ova metoda je manje osetljiva od citološke metode pregleda </w:t>
      </w:r>
      <w:r w:rsidR="0000488C">
        <w:t>(Carlotti, 2005</w:t>
      </w:r>
      <w:r w:rsidR="00FC752D" w:rsidRPr="00023AE8">
        <w:t>)</w:t>
      </w:r>
      <w:r w:rsidR="00FC752D">
        <w:t xml:space="preserve">. </w:t>
      </w:r>
    </w:p>
    <w:p w:rsidR="00C30424" w:rsidRDefault="00C30424" w:rsidP="00C30424">
      <w:pPr>
        <w:rPr>
          <w:rFonts w:cs="Times New Roman"/>
          <w:szCs w:val="24"/>
        </w:rPr>
      </w:pPr>
      <w:r>
        <w:rPr>
          <w:rFonts w:cs="Times New Roman"/>
          <w:szCs w:val="24"/>
        </w:rPr>
        <w:t>Terapijska proba je poslednja metoda u dijagnostici ovog oboljenja i predstavlja najpouzdaniju metodu dijagnostike. Ukoliko nakon primene terapije dodje do nestanka ili smanjenja simptoma dermatitis, dijagnoza je time potvrđena.</w:t>
      </w:r>
    </w:p>
    <w:p w:rsidR="00C30424" w:rsidRDefault="00C30424" w:rsidP="00C30424">
      <w:pPr>
        <w:ind w:firstLine="0"/>
        <w:rPr>
          <w:rFonts w:cs="Times New Roman"/>
          <w:szCs w:val="24"/>
        </w:rPr>
      </w:pPr>
    </w:p>
    <w:p w:rsidR="00967B34" w:rsidRDefault="00C30424" w:rsidP="00967B34">
      <w:pPr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Slika br. 10, </w:t>
      </w:r>
      <w:r w:rsidRPr="00C30424">
        <w:rPr>
          <w:i/>
          <w:sz w:val="20"/>
          <w:szCs w:val="20"/>
        </w:rPr>
        <w:t>Malassezia sp</w:t>
      </w:r>
      <w:r>
        <w:rPr>
          <w:sz w:val="20"/>
          <w:szCs w:val="20"/>
        </w:rPr>
        <w:t>. na histološkom preparatu</w:t>
      </w:r>
    </w:p>
    <w:p w:rsidR="001F3C11" w:rsidRPr="00967B34" w:rsidRDefault="001F3C11" w:rsidP="00967B34">
      <w:pPr>
        <w:pStyle w:val="Heading2"/>
        <w:rPr>
          <w:rFonts w:cs="Times New Roman"/>
          <w:szCs w:val="24"/>
        </w:rPr>
      </w:pPr>
      <w:bookmarkStart w:id="6" w:name="_Toc359194303"/>
      <w:r>
        <w:lastRenderedPageBreak/>
        <w:t>Diferencijalna dijagnoza</w:t>
      </w:r>
      <w:bookmarkEnd w:id="6"/>
      <w:r>
        <w:t xml:space="preserve"> </w:t>
      </w:r>
    </w:p>
    <w:p w:rsidR="001F3C11" w:rsidRDefault="001F3C11" w:rsidP="001F3C11">
      <w:r>
        <w:t xml:space="preserve">Diferencijalna dijagnoza uključuje mnoge dermatoze praćene pruritusom, eritemom, hiperpigmentacijom, seborejom, bakterijska </w:t>
      </w:r>
      <w:r w:rsidR="00D50868">
        <w:t>oboljenja kože, demodikozu, šugu</w:t>
      </w:r>
      <w:r>
        <w:t xml:space="preserve">, alergijski odgovor na lekove, idiopatska </w:t>
      </w:r>
      <w:r w:rsidR="00D50868" w:rsidRPr="00D50868">
        <w:rPr>
          <w:i/>
        </w:rPr>
        <w:t>acanthosis nigricans</w:t>
      </w:r>
      <w:r w:rsidR="00D50868">
        <w:t xml:space="preserve">, epiteliotropne limfome i svi seborejični dematitisi. U suštini klinički znakovi kod </w:t>
      </w:r>
      <w:r w:rsidR="00D50868" w:rsidRPr="00B27F47">
        <w:rPr>
          <w:i/>
        </w:rPr>
        <w:t>Malassezia</w:t>
      </w:r>
      <w:r w:rsidR="00D50868">
        <w:t xml:space="preserve"> dermatitis su varijabilni i mogu da imitiraju razne dermatoze </w:t>
      </w:r>
      <w:r w:rsidR="0000488C">
        <w:t>(Carlotti, 2005</w:t>
      </w:r>
      <w:r w:rsidR="00D50868" w:rsidRPr="00023AE8">
        <w:t>)</w:t>
      </w:r>
      <w:r w:rsidR="00D50868">
        <w:t xml:space="preserve">. </w:t>
      </w:r>
    </w:p>
    <w:p w:rsidR="00D50868" w:rsidRDefault="00D50868" w:rsidP="00D50868">
      <w:pPr>
        <w:pStyle w:val="Heading2"/>
      </w:pPr>
      <w:bookmarkStart w:id="7" w:name="_Toc359194304"/>
      <w:r>
        <w:t>Terapija</w:t>
      </w:r>
      <w:bookmarkEnd w:id="7"/>
    </w:p>
    <w:p w:rsidR="00D50868" w:rsidRDefault="00D47642" w:rsidP="00824751">
      <w:r>
        <w:t>Najefektivnija terapija kod</w:t>
      </w:r>
      <w:r w:rsidR="007453F1">
        <w:t xml:space="preserve"> </w:t>
      </w:r>
      <w:r w:rsidR="007453F1" w:rsidRPr="00082A79">
        <w:rPr>
          <w:i/>
        </w:rPr>
        <w:t>Malassezia</w:t>
      </w:r>
      <w:r w:rsidR="007453F1">
        <w:t xml:space="preserve"> </w:t>
      </w:r>
      <w:r w:rsidR="00082A79">
        <w:t>dermatitisa</w:t>
      </w:r>
      <w:r w:rsidR="007453F1">
        <w:t xml:space="preserve"> je sistemska trapija </w:t>
      </w:r>
      <w:r w:rsidR="00082A79">
        <w:t xml:space="preserve">sa ketokonazolom u dozi od 10 mg/kg, peroralno na svakih 12h u trajanju od 20 – 30 dana (Charach, 1997).  Kao i svi derivati azola, </w:t>
      </w:r>
      <w:r w:rsidR="003E3DCC">
        <w:t xml:space="preserve">ketokonazol deluje vezivajući se za citohrom P450, inhibirajući nastanak ergosterola koji je bitna komponenta ćelijske membrane gljivica. Ovo dovodi do poremećaja aktivnosti raznih membranskih enzima i poremećaja propustljivosti ćelijske membrane  </w:t>
      </w:r>
      <w:r w:rsidR="0000488C">
        <w:t>(Carlotti, 2005</w:t>
      </w:r>
      <w:r w:rsidR="003E3DCC" w:rsidRPr="00023AE8">
        <w:t>)</w:t>
      </w:r>
      <w:r w:rsidR="003E3DCC">
        <w:t xml:space="preserve">. </w:t>
      </w:r>
      <w:r w:rsidR="00824751">
        <w:t xml:space="preserve">Pored ovih svojstava, ketokonazol ima i antiinflamatorne osobine delujući na sintezu leukotrijena. Preporučuje se da se lek pomeša sa hranom i na taj način aplikuje životinji. </w:t>
      </w:r>
      <w:r w:rsidR="003E3DCC">
        <w:t xml:space="preserve"> </w:t>
      </w:r>
      <w:r w:rsidR="00824751">
        <w:t xml:space="preserve">Umesto ketokonazola može da se primeni i itrakonazol. Prema nekim autorima, </w:t>
      </w:r>
      <w:r w:rsidR="00824751" w:rsidRPr="007F2651">
        <w:rPr>
          <w:i/>
        </w:rPr>
        <w:t>Malassezia pachydermatis</w:t>
      </w:r>
      <w:r w:rsidR="00824751">
        <w:t xml:space="preserve"> nije pokazala otpornost ni prema drugim najčešće korišćenim antigljivičnim lekovima kao što su derivati azola, nistatin, amfotericin – B, 5 – fluorocitozin. Grizeofulvin </w:t>
      </w:r>
      <w:r w:rsidR="00483031">
        <w:t xml:space="preserve">nije efektivan u terapiji </w:t>
      </w:r>
      <w:r w:rsidR="00483031" w:rsidRPr="00483031">
        <w:rPr>
          <w:i/>
        </w:rPr>
        <w:t xml:space="preserve">Malassezia </w:t>
      </w:r>
      <w:r w:rsidR="00483031">
        <w:t xml:space="preserve">dermatitisa. </w:t>
      </w:r>
    </w:p>
    <w:p w:rsidR="00483031" w:rsidRDefault="00483031" w:rsidP="00824751">
      <w:r>
        <w:t>Kao alternativa u sistemskom lečenju koristi se i lokalna aplikacija antimikotika u vidu gelova, krema, losiona, sprejeva i šampona. Ovaj vid terapije može da se koristi u kombinacij sa sistemskom terapijom, iako to nije dalo bolje rezul</w:t>
      </w:r>
      <w:r w:rsidR="00D508DA">
        <w:t xml:space="preserve">tate od same sistemske terapije. Preparate bi trebalo topikalno aplikovati 2 – 3 puta nedeljno tokom 2 nedelje, a zatim jednom nedeljno </w:t>
      </w:r>
      <w:r w:rsidR="0000488C">
        <w:t>(Carlotti, 2005</w:t>
      </w:r>
      <w:r w:rsidR="00D508DA" w:rsidRPr="00023AE8">
        <w:t>)</w:t>
      </w:r>
      <w:r w:rsidR="00D508DA">
        <w:t xml:space="preserve">. </w:t>
      </w:r>
    </w:p>
    <w:p w:rsidR="00D508DA" w:rsidRDefault="00D508DA" w:rsidP="00824751">
      <w:r>
        <w:t>Redovna terapija je jako bitna jer neredovna terapija je najčešći uzrok neuspeha u lečenju ovog oboljenja.</w:t>
      </w:r>
      <w:r w:rsidR="009A1CA1">
        <w:t xml:space="preserve"> Prvi rezulati uspešne terapije bi trebali da se jave nakon prve nedelje od početka primene terapije. Nakon prve nedelje tretiranja pruritus se smanjuje dok lezije potpuno nestaju nakon 2 nedelje tretiranja. Sam tretman bi trebao da traje barem mesec dana, ali može da se produži i na 2 meseca dok se ne povuku svi simptomi oboljenja. Najč</w:t>
      </w:r>
      <w:r w:rsidR="00554C95">
        <w:t xml:space="preserve">ešće se sa terapijom nastavlja </w:t>
      </w:r>
      <w:r w:rsidR="009A1CA1">
        <w:t xml:space="preserve"> 7 – 10 dana nakon nestanka kliničkih simptoma </w:t>
      </w:r>
      <w:r w:rsidR="009A1CA1" w:rsidRPr="00023AE8">
        <w:t>(Carlotti,</w:t>
      </w:r>
      <w:r w:rsidR="0000488C">
        <w:t xml:space="preserve"> 2005</w:t>
      </w:r>
      <w:r w:rsidR="009A1CA1" w:rsidRPr="00023AE8">
        <w:t>)</w:t>
      </w:r>
      <w:r w:rsidR="009A1CA1">
        <w:t xml:space="preserve">. </w:t>
      </w:r>
    </w:p>
    <w:p w:rsidR="00E46BAA" w:rsidRDefault="00E46BAA" w:rsidP="00E46BAA">
      <w:pPr>
        <w:pStyle w:val="Heading2"/>
      </w:pPr>
      <w:bookmarkStart w:id="8" w:name="_Toc359194305"/>
      <w:r>
        <w:lastRenderedPageBreak/>
        <w:t>Zaključak</w:t>
      </w:r>
      <w:bookmarkEnd w:id="8"/>
    </w:p>
    <w:p w:rsidR="00E46BAA" w:rsidRPr="00E46BAA" w:rsidRDefault="00E46BAA" w:rsidP="00E46BAA">
      <w:r w:rsidRPr="00E46BAA">
        <w:rPr>
          <w:i/>
        </w:rPr>
        <w:t>Malassezia pachydermatis</w:t>
      </w:r>
      <w:r>
        <w:t xml:space="preserve"> je </w:t>
      </w:r>
      <w:r w:rsidR="002032C3">
        <w:t xml:space="preserve">lipofilna </w:t>
      </w:r>
      <w:r>
        <w:t>kvaščeva gljivica koja je kao komensal stalno prisutna na koži pasa i mačaka. Najčešće perzistira u spoljašnjem ušnom kanalu, perianalnoj regiji, na ekstremitetima, usnama kao i na celokupnom dlačnom pokrivaču. Neki autori ovu gljivicu smatraju i oportunističkim patogenom. I</w:t>
      </w:r>
      <w:r w:rsidR="007F2651">
        <w:t>n</w:t>
      </w:r>
      <w:r>
        <w:t>fekcije ovom gljivicom najčešće nastaju sekundarno, kao posledica nekih autoimunih oboljenja, ektoparazitskih oboljenja, imunodeficijentnih stanja, piodermija</w:t>
      </w:r>
      <w:r w:rsidR="002032C3">
        <w:t>, endokrinopatija, dugotrajnog korišćenja glukokortikoida i antibiotika i dr. Relativno se često javlja sa različitim kliničkim znacima od kojih su najčešći intenzivan pruritus i neprijatan miris životinje na užeglu mast. Lako se dijagnostikuje brzim i pouzdanim citološkim metodama dijagno</w:t>
      </w:r>
      <w:r w:rsidR="00EA3CF0">
        <w:t>stike. Iako dobro odgovara na većinu antigljivičnih lekova, terapija je dugotrajna i zahteva redovnu aplikaciju lekova.</w:t>
      </w:r>
    </w:p>
    <w:p w:rsidR="00636B00" w:rsidRDefault="00636B00" w:rsidP="002B7F96">
      <w:pPr>
        <w:rPr>
          <w:rFonts w:cs="Times New Roman"/>
          <w:b/>
          <w:szCs w:val="24"/>
        </w:rPr>
      </w:pPr>
    </w:p>
    <w:p w:rsidR="0000488C" w:rsidRDefault="0000488C" w:rsidP="002B7F96">
      <w:pPr>
        <w:rPr>
          <w:rFonts w:cs="Times New Roman"/>
          <w:b/>
          <w:szCs w:val="24"/>
        </w:rPr>
      </w:pPr>
    </w:p>
    <w:p w:rsidR="0000488C" w:rsidRDefault="0000488C" w:rsidP="002B7F96">
      <w:pPr>
        <w:rPr>
          <w:rFonts w:cs="Times New Roman"/>
          <w:b/>
          <w:szCs w:val="24"/>
        </w:rPr>
      </w:pPr>
    </w:p>
    <w:p w:rsidR="0000488C" w:rsidRDefault="0000488C" w:rsidP="002B7F96">
      <w:pPr>
        <w:rPr>
          <w:rFonts w:cs="Times New Roman"/>
          <w:b/>
          <w:szCs w:val="24"/>
        </w:rPr>
      </w:pPr>
    </w:p>
    <w:p w:rsidR="0000488C" w:rsidRDefault="0000488C" w:rsidP="002B7F96">
      <w:pPr>
        <w:rPr>
          <w:rFonts w:cs="Times New Roman"/>
          <w:b/>
          <w:szCs w:val="24"/>
        </w:rPr>
      </w:pPr>
    </w:p>
    <w:p w:rsidR="0000488C" w:rsidRDefault="0000488C" w:rsidP="002B7F96">
      <w:pPr>
        <w:rPr>
          <w:rFonts w:cs="Times New Roman"/>
          <w:b/>
          <w:szCs w:val="24"/>
        </w:rPr>
      </w:pPr>
    </w:p>
    <w:p w:rsidR="0000488C" w:rsidRDefault="0000488C" w:rsidP="002B7F96">
      <w:pPr>
        <w:rPr>
          <w:rFonts w:cs="Times New Roman"/>
          <w:b/>
          <w:szCs w:val="24"/>
        </w:rPr>
      </w:pPr>
    </w:p>
    <w:p w:rsidR="006707DF" w:rsidRDefault="006707DF" w:rsidP="002B7F96">
      <w:pPr>
        <w:rPr>
          <w:rFonts w:cs="Times New Roman"/>
          <w:b/>
          <w:szCs w:val="24"/>
        </w:rPr>
      </w:pPr>
    </w:p>
    <w:p w:rsidR="006707DF" w:rsidRDefault="006707DF" w:rsidP="002B7F96">
      <w:pPr>
        <w:rPr>
          <w:rFonts w:cs="Times New Roman"/>
          <w:b/>
          <w:szCs w:val="24"/>
        </w:rPr>
      </w:pPr>
    </w:p>
    <w:p w:rsidR="006707DF" w:rsidRDefault="006707DF" w:rsidP="002B7F96">
      <w:pPr>
        <w:rPr>
          <w:rFonts w:cs="Times New Roman"/>
          <w:b/>
          <w:szCs w:val="24"/>
        </w:rPr>
      </w:pPr>
    </w:p>
    <w:p w:rsidR="00967B34" w:rsidRDefault="00967B34" w:rsidP="006707DF">
      <w:pPr>
        <w:pStyle w:val="Heading2"/>
      </w:pPr>
    </w:p>
    <w:p w:rsidR="00967B34" w:rsidRDefault="00967B34" w:rsidP="006707DF">
      <w:pPr>
        <w:pStyle w:val="Heading2"/>
      </w:pPr>
    </w:p>
    <w:p w:rsidR="00967B34" w:rsidRDefault="00967B34" w:rsidP="00967B34"/>
    <w:p w:rsidR="00967B34" w:rsidRDefault="00967B34" w:rsidP="00967B34"/>
    <w:p w:rsidR="0000488C" w:rsidRDefault="0000488C" w:rsidP="00967B34">
      <w:pPr>
        <w:pStyle w:val="Heading2"/>
      </w:pPr>
      <w:bookmarkStart w:id="9" w:name="_Toc359194306"/>
      <w:r>
        <w:lastRenderedPageBreak/>
        <w:t>Literatura</w:t>
      </w:r>
      <w:bookmarkEnd w:id="9"/>
    </w:p>
    <w:p w:rsidR="007672C6" w:rsidRPr="000235CF" w:rsidRDefault="00113B8D" w:rsidP="000235CF">
      <w:pPr>
        <w:pStyle w:val="ListParagraph"/>
        <w:numPr>
          <w:ilvl w:val="0"/>
          <w:numId w:val="3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Carlotti D.N</w:t>
      </w:r>
      <w:r w:rsidR="000235CF" w:rsidRPr="000235CF">
        <w:rPr>
          <w:rFonts w:cs="Times New Roman"/>
          <w:szCs w:val="24"/>
        </w:rPr>
        <w:t>, 2005</w:t>
      </w:r>
      <w:r w:rsidR="000235CF" w:rsidRPr="000235CF">
        <w:t>, Proceedings of the WSAVA Congress, Mexico City, Mexico</w:t>
      </w:r>
      <w:r w:rsidR="00966C8E">
        <w:t>.</w:t>
      </w:r>
    </w:p>
    <w:p w:rsidR="000235CF" w:rsidRPr="000235CF" w:rsidRDefault="00113B8D" w:rsidP="000235CF">
      <w:pPr>
        <w:pStyle w:val="ListParagraph"/>
        <w:numPr>
          <w:ilvl w:val="0"/>
          <w:numId w:val="3"/>
        </w:numPr>
        <w:rPr>
          <w:rFonts w:cs="Times New Roman"/>
          <w:szCs w:val="24"/>
        </w:rPr>
      </w:pPr>
      <w:r>
        <w:t>Charach M</w:t>
      </w:r>
      <w:r w:rsidR="000235CF">
        <w:t xml:space="preserve">, 1997, Veterinary dermatology, </w:t>
      </w:r>
      <w:r w:rsidR="000235CF" w:rsidRPr="000235CF">
        <w:t xml:space="preserve">Can Vet J </w:t>
      </w:r>
      <w:r w:rsidR="000235CF">
        <w:t xml:space="preserve">Volume 38, </w:t>
      </w:r>
      <w:r w:rsidR="00966C8E">
        <w:t xml:space="preserve">311 – 314. </w:t>
      </w:r>
    </w:p>
    <w:p w:rsidR="000235CF" w:rsidRPr="00966C8E" w:rsidRDefault="00113B8D" w:rsidP="000235CF">
      <w:pPr>
        <w:pStyle w:val="ListParagraph"/>
        <w:numPr>
          <w:ilvl w:val="0"/>
          <w:numId w:val="3"/>
        </w:numPr>
        <w:rPr>
          <w:rFonts w:cs="Times New Roman"/>
          <w:szCs w:val="24"/>
        </w:rPr>
      </w:pPr>
      <w:r>
        <w:t>Popović N</w:t>
      </w:r>
      <w:r w:rsidR="000235CF">
        <w:t xml:space="preserve">, 2012, </w:t>
      </w:r>
      <w:r w:rsidR="00966C8E">
        <w:t>Bolesti kože, Bolesti pasa i mačaka (autorizovana predavanja), Beograd</w:t>
      </w:r>
    </w:p>
    <w:p w:rsidR="00966C8E" w:rsidRPr="00966C8E" w:rsidRDefault="001778D1" w:rsidP="00966C8E">
      <w:pPr>
        <w:pStyle w:val="ListParagraph"/>
        <w:numPr>
          <w:ilvl w:val="0"/>
          <w:numId w:val="3"/>
        </w:numPr>
        <w:rPr>
          <w:rFonts w:cs="Times New Roman"/>
          <w:szCs w:val="24"/>
        </w:rPr>
      </w:pPr>
      <w:r w:rsidRPr="00026A17">
        <w:t>www.agefotostock.com/en/Stock-Images/Rights-Managed/BSI-1476007</w:t>
      </w:r>
    </w:p>
    <w:p w:rsidR="0000488C" w:rsidRDefault="0000488C" w:rsidP="002B7F96">
      <w:pPr>
        <w:rPr>
          <w:rFonts w:cs="Times New Roman"/>
          <w:b/>
          <w:szCs w:val="24"/>
        </w:rPr>
      </w:pPr>
    </w:p>
    <w:p w:rsidR="007625FD" w:rsidRDefault="00CB48B6" w:rsidP="007625FD">
      <w:pPr>
        <w:jc w:val="center"/>
        <w:rPr>
          <w:sz w:val="28"/>
          <w:szCs w:val="28"/>
        </w:rPr>
      </w:pPr>
      <w:hyperlink r:id="rId19" w:history="1">
        <w:r w:rsidR="007625FD">
          <w:rPr>
            <w:rStyle w:val="Hyperlink"/>
            <w:sz w:val="28"/>
            <w:szCs w:val="28"/>
          </w:rPr>
          <w:t>www.</w:t>
        </w:r>
        <w:r w:rsidR="00AA401F">
          <w:rPr>
            <w:rStyle w:val="Hyperlink"/>
            <w:sz w:val="28"/>
            <w:szCs w:val="28"/>
          </w:rPr>
          <w:t>maturski.org</w:t>
        </w:r>
      </w:hyperlink>
    </w:p>
    <w:p w:rsidR="007625FD" w:rsidRPr="00636B00" w:rsidRDefault="007625FD" w:rsidP="002B7F96">
      <w:pPr>
        <w:rPr>
          <w:rFonts w:cs="Times New Roman"/>
          <w:b/>
          <w:szCs w:val="24"/>
        </w:rPr>
      </w:pPr>
    </w:p>
    <w:sectPr w:rsidR="007625FD" w:rsidRPr="00636B00" w:rsidSect="006042AF">
      <w:footerReference w:type="default" r:id="rId2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A19" w:rsidRDefault="00BC4A19" w:rsidP="0026702F">
      <w:pPr>
        <w:spacing w:before="0" w:after="0" w:line="240" w:lineRule="auto"/>
      </w:pPr>
      <w:r>
        <w:separator/>
      </w:r>
    </w:p>
  </w:endnote>
  <w:endnote w:type="continuationSeparator" w:id="1">
    <w:p w:rsidR="00BC4A19" w:rsidRDefault="00BC4A19" w:rsidP="0026702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332"/>
      <w:docPartObj>
        <w:docPartGallery w:val="Page Numbers (Bottom of Page)"/>
        <w:docPartUnique/>
      </w:docPartObj>
    </w:sdtPr>
    <w:sdtContent>
      <w:p w:rsidR="0039202E" w:rsidRDefault="00CB48B6">
        <w:pPr>
          <w:pStyle w:val="Footer"/>
          <w:jc w:val="right"/>
        </w:pPr>
        <w:fldSimple w:instr=" PAGE   \* MERGEFORMAT ">
          <w:r w:rsidR="00AA401F">
            <w:rPr>
              <w:noProof/>
            </w:rPr>
            <w:t>1</w:t>
          </w:r>
        </w:fldSimple>
      </w:p>
    </w:sdtContent>
  </w:sdt>
  <w:p w:rsidR="0039202E" w:rsidRDefault="003920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A19" w:rsidRDefault="00BC4A19" w:rsidP="0026702F">
      <w:pPr>
        <w:spacing w:before="0" w:after="0" w:line="240" w:lineRule="auto"/>
      </w:pPr>
      <w:r>
        <w:separator/>
      </w:r>
    </w:p>
  </w:footnote>
  <w:footnote w:type="continuationSeparator" w:id="1">
    <w:p w:rsidR="00BC4A19" w:rsidRDefault="00BC4A19" w:rsidP="0026702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135D"/>
    <w:multiLevelType w:val="hybridMultilevel"/>
    <w:tmpl w:val="090C7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E1386"/>
    <w:multiLevelType w:val="hybridMultilevel"/>
    <w:tmpl w:val="40067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B1865"/>
    <w:multiLevelType w:val="hybridMultilevel"/>
    <w:tmpl w:val="0D806482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7D31"/>
    <w:rsid w:val="0000488C"/>
    <w:rsid w:val="000235CF"/>
    <w:rsid w:val="00023AE8"/>
    <w:rsid w:val="00026A17"/>
    <w:rsid w:val="00082A79"/>
    <w:rsid w:val="000F3E39"/>
    <w:rsid w:val="000F7289"/>
    <w:rsid w:val="00105B3F"/>
    <w:rsid w:val="00113B8D"/>
    <w:rsid w:val="001232A6"/>
    <w:rsid w:val="00171DE8"/>
    <w:rsid w:val="001778D1"/>
    <w:rsid w:val="001B34F1"/>
    <w:rsid w:val="001F1946"/>
    <w:rsid w:val="001F3C11"/>
    <w:rsid w:val="002032C3"/>
    <w:rsid w:val="00206B57"/>
    <w:rsid w:val="00253C1E"/>
    <w:rsid w:val="00261C25"/>
    <w:rsid w:val="0026702F"/>
    <w:rsid w:val="002B7F96"/>
    <w:rsid w:val="00332EF1"/>
    <w:rsid w:val="0039202E"/>
    <w:rsid w:val="003A7923"/>
    <w:rsid w:val="003D3288"/>
    <w:rsid w:val="003E3DCC"/>
    <w:rsid w:val="00443846"/>
    <w:rsid w:val="00475CD0"/>
    <w:rsid w:val="004809B7"/>
    <w:rsid w:val="00483031"/>
    <w:rsid w:val="004830B0"/>
    <w:rsid w:val="00495451"/>
    <w:rsid w:val="00530514"/>
    <w:rsid w:val="00554C95"/>
    <w:rsid w:val="00561BE4"/>
    <w:rsid w:val="00575699"/>
    <w:rsid w:val="005815AB"/>
    <w:rsid w:val="00596ECF"/>
    <w:rsid w:val="005E4C10"/>
    <w:rsid w:val="005F7327"/>
    <w:rsid w:val="006042AF"/>
    <w:rsid w:val="00636B00"/>
    <w:rsid w:val="00653A25"/>
    <w:rsid w:val="00663870"/>
    <w:rsid w:val="006707DF"/>
    <w:rsid w:val="00675E18"/>
    <w:rsid w:val="006774F8"/>
    <w:rsid w:val="006D548D"/>
    <w:rsid w:val="006E1192"/>
    <w:rsid w:val="006E3D36"/>
    <w:rsid w:val="007074D2"/>
    <w:rsid w:val="00712FFB"/>
    <w:rsid w:val="007453F1"/>
    <w:rsid w:val="00747B1B"/>
    <w:rsid w:val="007625FD"/>
    <w:rsid w:val="007645BC"/>
    <w:rsid w:val="007672C6"/>
    <w:rsid w:val="007A60E8"/>
    <w:rsid w:val="007D2D9E"/>
    <w:rsid w:val="007D3E65"/>
    <w:rsid w:val="007F2651"/>
    <w:rsid w:val="0080166E"/>
    <w:rsid w:val="00824751"/>
    <w:rsid w:val="008D53FE"/>
    <w:rsid w:val="00902748"/>
    <w:rsid w:val="0096664E"/>
    <w:rsid w:val="00966C8E"/>
    <w:rsid w:val="00967B34"/>
    <w:rsid w:val="00997667"/>
    <w:rsid w:val="009A1CA1"/>
    <w:rsid w:val="00A47496"/>
    <w:rsid w:val="00A53DBD"/>
    <w:rsid w:val="00AA401F"/>
    <w:rsid w:val="00AC066A"/>
    <w:rsid w:val="00AD78AF"/>
    <w:rsid w:val="00AE43FA"/>
    <w:rsid w:val="00B27F47"/>
    <w:rsid w:val="00B329AD"/>
    <w:rsid w:val="00B47D31"/>
    <w:rsid w:val="00B53EF0"/>
    <w:rsid w:val="00BC0AB4"/>
    <w:rsid w:val="00BC36C3"/>
    <w:rsid w:val="00BC4A19"/>
    <w:rsid w:val="00BC74D9"/>
    <w:rsid w:val="00BD1133"/>
    <w:rsid w:val="00C30424"/>
    <w:rsid w:val="00C44B4B"/>
    <w:rsid w:val="00C57AB1"/>
    <w:rsid w:val="00C74CD7"/>
    <w:rsid w:val="00CB48B6"/>
    <w:rsid w:val="00CD5C4B"/>
    <w:rsid w:val="00CD7F0C"/>
    <w:rsid w:val="00D461C9"/>
    <w:rsid w:val="00D47642"/>
    <w:rsid w:val="00D50868"/>
    <w:rsid w:val="00D508DA"/>
    <w:rsid w:val="00D6157B"/>
    <w:rsid w:val="00DA357A"/>
    <w:rsid w:val="00DC2FAF"/>
    <w:rsid w:val="00E46BAA"/>
    <w:rsid w:val="00EA3A17"/>
    <w:rsid w:val="00EA3CF0"/>
    <w:rsid w:val="00F02BD6"/>
    <w:rsid w:val="00F069B9"/>
    <w:rsid w:val="00F13C92"/>
    <w:rsid w:val="00F375C2"/>
    <w:rsid w:val="00F42512"/>
    <w:rsid w:val="00F563A7"/>
    <w:rsid w:val="00FC752D"/>
    <w:rsid w:val="00FF6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4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CD0"/>
    <w:pPr>
      <w:spacing w:after="120"/>
      <w:ind w:firstLine="288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4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8AF"/>
    <w:pPr>
      <w:keepNext/>
      <w:keepLines/>
      <w:spacing w:before="240" w:after="24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6B5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D78AF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966C8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02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02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9202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02E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D54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548D"/>
    <w:pPr>
      <w:spacing w:line="276" w:lineRule="auto"/>
      <w:ind w:firstLine="0"/>
      <w:jc w:val="left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D548D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urski.org/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www.maturski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1D11B-2A9A-4BD8-83C2-63F399CC7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Malassezia-pachydermatis-Malasezia-dermatitis</dc:title>
  <dc:creator>BsR</dc:creator>
  <cp:lastModifiedBy>voodoo</cp:lastModifiedBy>
  <cp:revision>2</cp:revision>
  <dcterms:created xsi:type="dcterms:W3CDTF">2014-01-07T23:04:00Z</dcterms:created>
  <dcterms:modified xsi:type="dcterms:W3CDTF">2014-01-07T23:04:00Z</dcterms:modified>
</cp:coreProperties>
</file>